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31" w:rsidRPr="006B3831" w:rsidRDefault="006B3831" w:rsidP="006B3831">
      <w:pPr>
        <w:widowControl/>
        <w:spacing w:line="432" w:lineRule="auto"/>
        <w:rPr>
          <w:rFonts w:ascii="宋体" w:eastAsia="宋体" w:hAnsi="宋体" w:cs="宋体"/>
          <w:color w:val="333333"/>
          <w:kern w:val="0"/>
          <w:sz w:val="24"/>
          <w:szCs w:val="24"/>
        </w:rPr>
      </w:pPr>
      <w:bookmarkStart w:id="0" w:name="_GoBack"/>
      <w:bookmarkEnd w:id="0"/>
      <w:r w:rsidRPr="006B3831">
        <w:rPr>
          <w:rFonts w:ascii="宋体" w:eastAsia="宋体" w:hAnsi="宋体" w:cs="宋体" w:hint="eastAsia"/>
          <w:b/>
          <w:bCs/>
          <w:color w:val="333333"/>
          <w:kern w:val="0"/>
          <w:sz w:val="24"/>
          <w:szCs w:val="24"/>
        </w:rPr>
        <w:t>附件</w:t>
      </w:r>
    </w:p>
    <w:p w:rsidR="006B3831" w:rsidRPr="006B3831" w:rsidRDefault="006B3831" w:rsidP="006B3831">
      <w:pPr>
        <w:widowControl/>
        <w:spacing w:line="432" w:lineRule="auto"/>
        <w:rPr>
          <w:rFonts w:ascii="宋体" w:eastAsia="宋体" w:hAnsi="宋体" w:cs="宋体"/>
          <w:color w:val="333333"/>
          <w:kern w:val="0"/>
          <w:sz w:val="24"/>
          <w:szCs w:val="24"/>
        </w:rPr>
      </w:pPr>
    </w:p>
    <w:p w:rsidR="006B3831" w:rsidRPr="006B3831" w:rsidRDefault="006B3831" w:rsidP="006B3831">
      <w:pPr>
        <w:widowControl/>
        <w:spacing w:line="432" w:lineRule="auto"/>
        <w:jc w:val="center"/>
        <w:rPr>
          <w:rFonts w:ascii="宋体" w:eastAsia="宋体" w:hAnsi="宋体" w:cs="宋体"/>
          <w:color w:val="333333"/>
          <w:kern w:val="0"/>
          <w:sz w:val="24"/>
          <w:szCs w:val="24"/>
        </w:rPr>
      </w:pPr>
      <w:r w:rsidRPr="006B3831">
        <w:rPr>
          <w:rFonts w:ascii="宋体" w:eastAsia="宋体" w:hAnsi="宋体" w:cs="宋体" w:hint="eastAsia"/>
          <w:b/>
          <w:bCs/>
          <w:color w:val="333333"/>
          <w:kern w:val="0"/>
          <w:sz w:val="36"/>
          <w:szCs w:val="36"/>
        </w:rPr>
        <w:t xml:space="preserve">重 点 任 </w:t>
      </w:r>
      <w:proofErr w:type="gramStart"/>
      <w:r w:rsidRPr="006B3831">
        <w:rPr>
          <w:rFonts w:ascii="宋体" w:eastAsia="宋体" w:hAnsi="宋体" w:cs="宋体" w:hint="eastAsia"/>
          <w:b/>
          <w:bCs/>
          <w:color w:val="333333"/>
          <w:kern w:val="0"/>
          <w:sz w:val="36"/>
          <w:szCs w:val="36"/>
        </w:rPr>
        <w:t>务</w:t>
      </w:r>
      <w:proofErr w:type="gramEnd"/>
      <w:r w:rsidRPr="006B3831">
        <w:rPr>
          <w:rFonts w:ascii="宋体" w:eastAsia="宋体" w:hAnsi="宋体" w:cs="宋体" w:hint="eastAsia"/>
          <w:b/>
          <w:bCs/>
          <w:color w:val="333333"/>
          <w:kern w:val="0"/>
          <w:sz w:val="36"/>
          <w:szCs w:val="36"/>
        </w:rPr>
        <w:t xml:space="preserve"> 分 工</w:t>
      </w:r>
    </w:p>
    <w:p w:rsidR="006B3831" w:rsidRPr="006B3831" w:rsidRDefault="006B3831" w:rsidP="006B3831">
      <w:pPr>
        <w:widowControl/>
        <w:spacing w:line="432" w:lineRule="auto"/>
        <w:jc w:val="center"/>
        <w:rPr>
          <w:rFonts w:ascii="宋体" w:eastAsia="宋体" w:hAnsi="宋体" w:cs="宋体"/>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1537"/>
        <w:gridCol w:w="4225"/>
        <w:gridCol w:w="2591"/>
      </w:tblGrid>
      <w:tr w:rsidR="006B3831" w:rsidRPr="006B3831" w:rsidTr="006B3831">
        <w:trPr>
          <w:jc w:val="center"/>
        </w:trPr>
        <w:tc>
          <w:tcPr>
            <w:tcW w:w="7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序号</w:t>
            </w:r>
          </w:p>
        </w:tc>
        <w:tc>
          <w:tcPr>
            <w:tcW w:w="15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工作任务</w:t>
            </w:r>
          </w:p>
        </w:tc>
        <w:tc>
          <w:tcPr>
            <w:tcW w:w="42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主要内容</w:t>
            </w:r>
          </w:p>
        </w:tc>
        <w:tc>
          <w:tcPr>
            <w:tcW w:w="25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宋体" w:eastAsia="宋体" w:hAnsi="宋体" w:cs="Calibri" w:hint="eastAsia"/>
                <w:b/>
                <w:bCs/>
                <w:color w:val="333333"/>
                <w:kern w:val="0"/>
                <w:sz w:val="20"/>
                <w:szCs w:val="20"/>
              </w:rPr>
              <w:t>责任单位</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构建教育和产业统筹融合发展格局</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同步规划产教融合与经济社会发展。</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国家发展改革委会同有关部门，各省级人民政府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统筹职业教育与区域发展布局。</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教育部、国家发展改革委、人力资源社会保障部，各省级人民政府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3</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促进高等教育融入国家创新体系和新型城镇化建设。</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教育部、国家发展改革委、科技部，有关省级人民政府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4</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推动学科专业建设与产业转型升级相适应。建立紧密对接产业链、创新链的学科专业体系。加快推进新工科建设。</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5</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健全需求导向的人才培养结构调整机制。严格实行专业预警和退出机制。</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6</w:t>
            </w:r>
          </w:p>
        </w:tc>
        <w:tc>
          <w:tcPr>
            <w:tcW w:w="14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强化企业重要主体作用</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鼓励企业以独资、合资、合作等方式依法参与举办职业教育、高等教育。坚持准入条件透明化、审批范围最小化，细化标准、简化流程、优化服务，改进办学准入条件和审批环节。</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7</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鼓励有条件的地区探索推进职业学校股份制、</w:t>
            </w:r>
            <w:r w:rsidRPr="006B3831">
              <w:rPr>
                <w:rFonts w:ascii="宋体" w:eastAsia="宋体" w:hAnsi="宋体" w:cs="Calibri" w:hint="eastAsia"/>
                <w:color w:val="333333"/>
                <w:kern w:val="0"/>
                <w:sz w:val="20"/>
                <w:szCs w:val="20"/>
              </w:rPr>
              <w:lastRenderedPageBreak/>
              <w:t>混合所有制改革，允许企业以资本、技术、管理等要素依法参与办学并享有相应权利。</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lastRenderedPageBreak/>
              <w:t>有关省级人民政府</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lastRenderedPageBreak/>
              <w:t>8</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C511CD">
              <w:rPr>
                <w:rFonts w:ascii="宋体" w:eastAsia="宋体" w:hAnsi="宋体" w:cs="Calibri" w:hint="eastAsia"/>
                <w:color w:val="333333"/>
                <w:kern w:val="0"/>
                <w:sz w:val="20"/>
                <w:szCs w:val="20"/>
                <w:highlight w:val="yellow"/>
              </w:rPr>
              <w:t>深化“引企入教”改革，促进企业需求融入人才培养环节。</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w:t>
            </w:r>
            <w:r w:rsidRPr="00C511CD">
              <w:rPr>
                <w:rFonts w:ascii="宋体" w:eastAsia="宋体" w:hAnsi="宋体" w:cs="Calibri" w:hint="eastAsia"/>
                <w:color w:val="333333"/>
                <w:kern w:val="0"/>
                <w:sz w:val="20"/>
                <w:szCs w:val="20"/>
                <w:highlight w:val="yellow"/>
              </w:rPr>
              <w:t>人力资源社会保障部</w:t>
            </w:r>
            <w:r w:rsidRPr="006B3831">
              <w:rPr>
                <w:rFonts w:ascii="宋体" w:eastAsia="宋体" w:hAnsi="宋体" w:cs="Calibri" w:hint="eastAsia"/>
                <w:color w:val="333333"/>
                <w:kern w:val="0"/>
                <w:sz w:val="20"/>
                <w:szCs w:val="20"/>
              </w:rPr>
              <w:t>、工业和信息化部会同有关部门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9</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健全学生到企业实习实训制度，推进实习实训规范化。</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教育部、国家发展改革委、人力资源社会保障部会同有关部门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10</w:t>
            </w:r>
          </w:p>
        </w:tc>
        <w:tc>
          <w:tcPr>
            <w:tcW w:w="14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强化企业重要主体作用</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引导高校将企业生产一线实际需求作为工程技术研究选题的重要来源。高校、科研机构牵头申请的应用型、工程技术研究项目原则上应有行业企业参与并制订成果转化方案。完善高校科研后评价体系，将成果转化作为项目和人才评价重要内容。</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教育部、科技部会同有关部门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11</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继续加强企业技术中心和高校技术创新平台建设，鼓励企业和高校共建产业技术实验室、中试和工程化基地。利用产业投资基金支持高校创新成果和核心技术产业化。</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国家发展改革委、教育部、科技部、财政部会同有关部门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12</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C511CD">
              <w:rPr>
                <w:rFonts w:ascii="宋体" w:eastAsia="宋体" w:hAnsi="宋体" w:cs="Calibri" w:hint="eastAsia"/>
                <w:color w:val="333333"/>
                <w:kern w:val="0"/>
                <w:sz w:val="20"/>
                <w:szCs w:val="20"/>
                <w:highlight w:val="yellow"/>
              </w:rPr>
              <w:t>强化企业职工在岗教育培训。</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全国总工会、</w:t>
            </w:r>
            <w:r w:rsidRPr="00C511CD">
              <w:rPr>
                <w:rFonts w:ascii="宋体" w:eastAsia="宋体" w:hAnsi="宋体" w:cs="Calibri" w:hint="eastAsia"/>
                <w:color w:val="333333"/>
                <w:kern w:val="0"/>
                <w:sz w:val="20"/>
                <w:szCs w:val="20"/>
                <w:highlight w:val="yellow"/>
              </w:rPr>
              <w:t>人力资源社会保障部会同有关部门</w:t>
            </w:r>
          </w:p>
        </w:tc>
      </w:tr>
      <w:tr w:rsidR="006B3831" w:rsidRPr="006B3831">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13</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鼓励区域、行业骨干企业联合职业学校、高等学校共同组建产教融合集团（联盟），带动中</w:t>
            </w:r>
            <w:r w:rsidRPr="006B3831">
              <w:rPr>
                <w:rFonts w:ascii="宋体" w:eastAsia="宋体" w:hAnsi="宋体" w:cs="Calibri" w:hint="eastAsia"/>
                <w:color w:val="333333"/>
                <w:kern w:val="0"/>
                <w:sz w:val="20"/>
                <w:szCs w:val="20"/>
              </w:rPr>
              <w:lastRenderedPageBreak/>
              <w:t>小企业参与，推进实体化运作。</w:t>
            </w:r>
          </w:p>
        </w:tc>
        <w:tc>
          <w:tcPr>
            <w:tcW w:w="2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lastRenderedPageBreak/>
              <w:t>有关部门和行业协会，各省级人民政府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lastRenderedPageBreak/>
              <w:t>14</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注重发挥国有企业特别是中央企业示范带头作用，支持各类企业依法参与校企合作。</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国务院国资委、全国工商联</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15</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结合推进国有企业改革，支持有条件的国有企业继续办好做强职业学校。</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国务院国资委、国家发展改革委、财政部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16</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推进产教融合人才培养改革</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将工匠精神培育融入基础教育。深化全日制职业学校办学体制改革，</w:t>
            </w:r>
            <w:r w:rsidRPr="00C511CD">
              <w:rPr>
                <w:rFonts w:ascii="宋体" w:eastAsia="宋体" w:hAnsi="宋体" w:cs="Calibri" w:hint="eastAsia"/>
                <w:color w:val="333333"/>
                <w:kern w:val="0"/>
                <w:sz w:val="20"/>
                <w:szCs w:val="20"/>
                <w:highlight w:val="yellow"/>
              </w:rPr>
              <w:t>在技术性、实践性较强的专业，</w:t>
            </w:r>
            <w:r w:rsidRPr="006B3831">
              <w:rPr>
                <w:rFonts w:ascii="宋体" w:eastAsia="宋体" w:hAnsi="宋体" w:cs="Calibri" w:hint="eastAsia"/>
                <w:color w:val="333333"/>
                <w:kern w:val="0"/>
                <w:sz w:val="20"/>
                <w:szCs w:val="20"/>
              </w:rPr>
              <w:t>全面推行现代学徒制和企业新型学徒制。</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w:t>
            </w:r>
            <w:r w:rsidRPr="00C511CD">
              <w:rPr>
                <w:rFonts w:ascii="宋体" w:eastAsia="宋体" w:hAnsi="宋体" w:cs="Calibri" w:hint="eastAsia"/>
                <w:color w:val="333333"/>
                <w:kern w:val="0"/>
                <w:sz w:val="20"/>
                <w:szCs w:val="20"/>
                <w:highlight w:val="yellow"/>
              </w:rPr>
              <w:t>人力资源社会保障部、</w:t>
            </w:r>
            <w:r w:rsidRPr="006B3831">
              <w:rPr>
                <w:rFonts w:ascii="宋体" w:eastAsia="宋体" w:hAnsi="宋体" w:cs="Calibri" w:hint="eastAsia"/>
                <w:color w:val="333333"/>
                <w:kern w:val="0"/>
                <w:sz w:val="20"/>
                <w:szCs w:val="20"/>
              </w:rPr>
              <w:t>国家发展改革委、全国总工会会同有关部门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17</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健全高等教育学术人才和应用人才分类培养体系，提高应用型人才培养比重。</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教育部、国家发展改革委会同有关部门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18</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加强产教融合师资队伍建设。支持企业技术和管理人才到学校任教，鼓励有条件的地方探索产业教师（导师）特设岗位计划。</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19</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适度提高高等学校招收职业教育毕业生比例，建立复合型、创新型技术技能人才系统培养制度。逐步提高高等学校招收有工作实践经历人员的比例。</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Calibri" w:eastAsia="宋体" w:hAnsi="Calibri" w:cs="Calibri"/>
                <w:color w:val="333333"/>
                <w:kern w:val="0"/>
                <w:sz w:val="20"/>
                <w:szCs w:val="20"/>
              </w:rPr>
              <w:t> </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20</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加快学校治理结构改革。创新教育培训服务供给。</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21</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促进产教供需双向对接</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强化行业协调指导。规范发展市场服务组织。打造信息服务平台。健全社会第三方评价。</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国家发展改革委、教育部、有关部门和行业协会，有关</w:t>
            </w:r>
            <w:r w:rsidRPr="006B3831">
              <w:rPr>
                <w:rFonts w:ascii="宋体" w:eastAsia="宋体" w:hAnsi="宋体" w:cs="Calibri" w:hint="eastAsia"/>
                <w:color w:val="333333"/>
                <w:kern w:val="0"/>
                <w:sz w:val="20"/>
                <w:szCs w:val="20"/>
              </w:rPr>
              <w:lastRenderedPageBreak/>
              <w:t>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lastRenderedPageBreak/>
              <w:t>22</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完善政策支持体系</w:t>
            </w: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C511CD">
              <w:rPr>
                <w:rFonts w:ascii="宋体" w:eastAsia="宋体" w:hAnsi="宋体" w:cs="Calibri" w:hint="eastAsia"/>
                <w:color w:val="333333"/>
                <w:kern w:val="0"/>
                <w:sz w:val="20"/>
                <w:szCs w:val="20"/>
                <w:highlight w:val="yellow"/>
              </w:rPr>
              <w:t>实施产教融合发展工程。</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w:t>
            </w:r>
            <w:r w:rsidRPr="00C511CD">
              <w:rPr>
                <w:rFonts w:ascii="宋体" w:eastAsia="宋体" w:hAnsi="宋体" w:cs="Calibri" w:hint="eastAsia"/>
                <w:color w:val="333333"/>
                <w:kern w:val="0"/>
                <w:sz w:val="20"/>
                <w:szCs w:val="20"/>
                <w:highlight w:val="yellow"/>
              </w:rPr>
              <w:t>人力资源社会保障部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23</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落实财税用地等政策。</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财政部、税务总局、国土资源部、国家发展改革委，各省级人民政府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24</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强化金融支持。</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人民银行、银监会、证监会、保监会、国家发展改革委、财政部</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25</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开展产教融合建设试点。</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国家发展改革委、教育部会同有关部门，各省级人民政府</w:t>
            </w:r>
          </w:p>
        </w:tc>
      </w:tr>
      <w:tr w:rsidR="006B3831" w:rsidRPr="006B3831" w:rsidTr="006B3831">
        <w:trPr>
          <w:jc w:val="center"/>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jc w:val="center"/>
              <w:rPr>
                <w:rFonts w:ascii="Calibri" w:eastAsia="宋体" w:hAnsi="Calibri" w:cs="Calibri"/>
                <w:color w:val="333333"/>
                <w:kern w:val="0"/>
                <w:szCs w:val="21"/>
              </w:rPr>
            </w:pPr>
            <w:r w:rsidRPr="006B3831">
              <w:rPr>
                <w:rFonts w:ascii="Calibri" w:eastAsia="宋体" w:hAnsi="Calibri" w:cs="Calibri"/>
                <w:color w:val="333333"/>
                <w:kern w:val="0"/>
                <w:sz w:val="20"/>
                <w:szCs w:val="20"/>
              </w:rPr>
              <w:t>26</w:t>
            </w:r>
          </w:p>
        </w:tc>
        <w:tc>
          <w:tcPr>
            <w:tcW w:w="0" w:type="auto"/>
            <w:vMerge/>
            <w:tcBorders>
              <w:top w:val="nil"/>
              <w:left w:val="nil"/>
              <w:bottom w:val="single" w:sz="8" w:space="0" w:color="auto"/>
              <w:right w:val="single" w:sz="8" w:space="0" w:color="auto"/>
            </w:tcBorders>
            <w:vAlign w:val="center"/>
            <w:hideMark/>
          </w:tcPr>
          <w:p w:rsidR="006B3831" w:rsidRPr="006B3831" w:rsidRDefault="006B3831" w:rsidP="006B3831">
            <w:pPr>
              <w:widowControl/>
              <w:spacing w:line="480" w:lineRule="auto"/>
              <w:jc w:val="left"/>
              <w:rPr>
                <w:rFonts w:ascii="Calibri" w:eastAsia="宋体" w:hAnsi="Calibri" w:cs="Calibri"/>
                <w:color w:val="333333"/>
                <w:kern w:val="0"/>
                <w:szCs w:val="21"/>
              </w:rPr>
            </w:pPr>
          </w:p>
        </w:tc>
        <w:tc>
          <w:tcPr>
            <w:tcW w:w="4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加强国际交流合作。</w:t>
            </w:r>
          </w:p>
        </w:tc>
        <w:tc>
          <w:tcPr>
            <w:tcW w:w="25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831" w:rsidRPr="006B3831" w:rsidRDefault="006B3831" w:rsidP="006B3831">
            <w:pPr>
              <w:widowControl/>
              <w:spacing w:line="480" w:lineRule="auto"/>
              <w:rPr>
                <w:rFonts w:ascii="Calibri" w:eastAsia="宋体" w:hAnsi="Calibri" w:cs="Calibri"/>
                <w:color w:val="333333"/>
                <w:kern w:val="0"/>
                <w:szCs w:val="21"/>
              </w:rPr>
            </w:pPr>
            <w:r w:rsidRPr="006B3831">
              <w:rPr>
                <w:rFonts w:ascii="宋体" w:eastAsia="宋体" w:hAnsi="宋体" w:cs="Calibri" w:hint="eastAsia"/>
                <w:color w:val="333333"/>
                <w:kern w:val="0"/>
                <w:sz w:val="20"/>
                <w:szCs w:val="20"/>
              </w:rPr>
              <w:t>教育部会同有关部门</w:t>
            </w:r>
          </w:p>
        </w:tc>
      </w:tr>
    </w:tbl>
    <w:p w:rsidR="00294651" w:rsidRDefault="00294651"/>
    <w:sectPr w:rsidR="00294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C1" w:rsidRDefault="001374C1" w:rsidP="00C511CD">
      <w:r>
        <w:separator/>
      </w:r>
    </w:p>
  </w:endnote>
  <w:endnote w:type="continuationSeparator" w:id="0">
    <w:p w:rsidR="001374C1" w:rsidRDefault="001374C1" w:rsidP="00C5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C1" w:rsidRDefault="001374C1" w:rsidP="00C511CD">
      <w:r>
        <w:separator/>
      </w:r>
    </w:p>
  </w:footnote>
  <w:footnote w:type="continuationSeparator" w:id="0">
    <w:p w:rsidR="001374C1" w:rsidRDefault="001374C1" w:rsidP="00C5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31"/>
    <w:rsid w:val="001374C1"/>
    <w:rsid w:val="00294651"/>
    <w:rsid w:val="0052338F"/>
    <w:rsid w:val="006B3831"/>
    <w:rsid w:val="00C511CD"/>
    <w:rsid w:val="00F7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1CD"/>
    <w:rPr>
      <w:sz w:val="18"/>
      <w:szCs w:val="18"/>
    </w:rPr>
  </w:style>
  <w:style w:type="paragraph" w:styleId="a4">
    <w:name w:val="footer"/>
    <w:basedOn w:val="a"/>
    <w:link w:val="Char0"/>
    <w:uiPriority w:val="99"/>
    <w:unhideWhenUsed/>
    <w:rsid w:val="00C5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1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1CD"/>
    <w:rPr>
      <w:sz w:val="18"/>
      <w:szCs w:val="18"/>
    </w:rPr>
  </w:style>
  <w:style w:type="paragraph" w:styleId="a4">
    <w:name w:val="footer"/>
    <w:basedOn w:val="a"/>
    <w:link w:val="Char0"/>
    <w:uiPriority w:val="99"/>
    <w:unhideWhenUsed/>
    <w:rsid w:val="00C511CD"/>
    <w:pPr>
      <w:tabs>
        <w:tab w:val="center" w:pos="4153"/>
        <w:tab w:val="right" w:pos="8306"/>
      </w:tabs>
      <w:snapToGrid w:val="0"/>
      <w:jc w:val="left"/>
    </w:pPr>
    <w:rPr>
      <w:sz w:val="18"/>
      <w:szCs w:val="18"/>
    </w:rPr>
  </w:style>
  <w:style w:type="character" w:customStyle="1" w:styleId="Char0">
    <w:name w:val="页脚 Char"/>
    <w:basedOn w:val="a0"/>
    <w:link w:val="a4"/>
    <w:uiPriority w:val="99"/>
    <w:rsid w:val="00C51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2</cp:revision>
  <dcterms:created xsi:type="dcterms:W3CDTF">2018-11-28T02:41:00Z</dcterms:created>
  <dcterms:modified xsi:type="dcterms:W3CDTF">2018-11-28T02:41:00Z</dcterms:modified>
</cp:coreProperties>
</file>